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SECTION 27 15 00</w:t>
      </w:r>
    </w:p>
    <w:p>
      <w:pPr>
        <w:jc w:val="center"/>
      </w:pPr>
      <w:r>
        <w:rPr>
          <w:b/>
          <w:sz w:val="28"/>
        </w:rPr>
        <w:t>COMMUNICATIONS HORIZONTAL CABLING - INDUSTRIAL SERIAL INTEGRATION</w:t>
      </w:r>
    </w:p>
    <w:p>
      <w:pPr>
        <w:jc w:val="center"/>
      </w:pPr>
      <w:r>
        <w:rPr>
          <w:b/>
          <w:sz w:val="24"/>
        </w:rPr>
        <w:t>HIGH-CAPACITY STORAGE MODBUS GATEWAY (16-PORT)</w:t>
      </w:r>
    </w:p>
    <w:p>
      <w:pPr>
        <w:pStyle w:val="Heading1"/>
      </w:pPr>
      <w:r>
        <w:t>PART 1 - GENERAL</w:t>
      </w:r>
    </w:p>
    <w:p>
      <w:pPr>
        <w:pStyle w:val="Heading2"/>
      </w:pPr>
      <w:r>
        <w:t>1.1 SUMMARY</w:t>
      </w:r>
    </w:p>
    <w:p>
      <w:r>
        <w:t>A. This section specifies the minimum engineering requirements for a high-capacity, rack-mounted Modbus TCP to Modbus RTU/ASCII gateway. The specified equipment is intended for mission-critical industrial environments requiring concurrent multi-master SCADA polling without serial bus collisions.</w:t>
      </w:r>
    </w:p>
    <w:p>
      <w:pPr>
        <w:pStyle w:val="Heading2"/>
      </w:pPr>
      <w:r>
        <w:t>1.2 SYSTEM DESCRIPTION</w:t>
      </w:r>
    </w:p>
    <w:p>
      <w:r>
        <w:t>A. The device shall provide centralized network segmentation by bridging up to 16 independent RS-232/485/422 serial networks to a single or dual Ethernet topology.</w:t>
      </w:r>
    </w:p>
    <w:p>
      <w:r>
        <w:t>B. The system shall employ active caching technologies to decouple the baud rate of the serial networks from the high-speed Ethernet backbone, eliminating TCP timeout exceptions under heavy concurrent polling loads.</w:t>
      </w:r>
    </w:p>
    <w:p>
      <w:pPr>
        <w:pStyle w:val="Heading2"/>
      </w:pPr>
      <w:r>
        <w:t>1.3 SUBMITTALS</w:t>
      </w:r>
    </w:p>
    <w:p>
      <w:r>
        <w:t>A. Product Data: Submit manufacturer’s official datasheet, user manual, and configuration guides.</w:t>
      </w:r>
    </w:p>
    <w:p>
      <w:r>
        <w:t>B. Proof of Conformance: Manufacturer must provide documented evidence that the gateway supports sub-3ms TCP response times via internal memory caching.</w:t>
      </w:r>
    </w:p>
    <w:p>
      <w:pPr>
        <w:pStyle w:val="Heading1"/>
      </w:pPr>
      <w:r>
        <w:t>PART 2 - PRODUCTS</w:t>
      </w:r>
    </w:p>
    <w:p>
      <w:pPr>
        <w:pStyle w:val="Heading2"/>
      </w:pPr>
      <w:r>
        <w:t>2.1 ACCEPTABLE MANUFACTURERS</w:t>
      </w:r>
    </w:p>
    <w:p>
      <w:r>
        <w:t>A. Basis of Design: Valtoris (16CH-RS232/485/422-ETH)</w:t>
      </w:r>
    </w:p>
    <w:p>
      <w:r>
        <w:t>B. Equivalent products must meet or exceed all hardware and firmware specifications detailed in Section 2.2 and 2.3. Substitutions must be approved by the specifying engineer a minimum of 10 days prior to the bid date.</w:t>
      </w:r>
    </w:p>
    <w:p>
      <w:pPr>
        <w:pStyle w:val="Heading2"/>
      </w:pPr>
      <w:r>
        <w:t>2.2 HARDWARE SPECIFICATIONS</w:t>
      </w:r>
    </w:p>
    <w:p>
      <w:r>
        <w:t>A. Form Factor: The gateway shall be housed in a standardized 1U rack-mountable metal enclosure.</w:t>
      </w:r>
    </w:p>
    <w:p>
      <w:r>
        <w:t>B. Port Density: The device shall feature 16 software-selectable RS-232/485/422 serial ports.</w:t>
      </w:r>
    </w:p>
    <w:p>
      <w:r>
        <w:t>C. Physical Isolation: To prevent cascading electrical failures, the internal serial architecture shall be physically segmented into isolated modular blocks (e.g., Ports 1-8 and Ports 9-16 operating independently).</w:t>
      </w:r>
    </w:p>
    <w:p>
      <w:r>
        <w:t>D. Power Supply: The device shall support direct AC 220V power input suitable for standard server racks, eliminating the need for external DIN-rail power adapters.</w:t>
      </w:r>
    </w:p>
    <w:p>
      <w:r>
        <w:t>E. Diagnostics: Front panel shall include dedicated LED indicators for continuous monitoring of Power, Ethernet Link/Activity, and per-port independent TX/RX data transmission states.</w:t>
      </w:r>
    </w:p>
    <w:p>
      <w:pPr>
        <w:pStyle w:val="Heading2"/>
      </w:pPr>
      <w:r>
        <w:t>2.3 FIRMWARE &amp; PROCESSING CAPABILITIES (CRITICAL PERFORMANCE REQUIREMENTS)</w:t>
      </w:r>
    </w:p>
    <w:p>
      <w:r>
        <w:t>A. Multi-Master Cache Mechanism: To prevent RS485 half-duplex data collisions, the gateway shall not operate solely as a passive transparent conduit. The device shall feature an "Auto-Query Storage" mode, equipped with a minimum of 10K bytes of internal Modbus memory cache.</w:t>
      </w:r>
    </w:p>
    <w:p>
      <w:r>
        <w:t>B. Polling Decoupling: The gateway shall independently and continuously poll downstream RTU nodes at the configured serial baud rate and store the updated register values in its internal cache.</w:t>
      </w:r>
    </w:p>
    <w:p>
      <w:r>
        <w:t>C. Latency Guarantee: When concurrent Modbus TCP read requests are received from multiple upstream SCADA hosts, the gateway shall serve the data directly from its internal RAM. The system shall guarantee an Ethernet-side response time of less than 3 milliseconds (&lt; 3ms).</w:t>
      </w:r>
    </w:p>
    <w:p>
      <w:pPr>
        <w:pStyle w:val="Heading2"/>
      </w:pPr>
      <w:r>
        <w:t>2.4 MULTI-MASTER CONCURRENCY &amp; COLLISION AVOIDANCE</w:t>
      </w:r>
    </w:p>
    <w:p>
      <w:r>
        <w:t>A. The gateway shall support simultaneous connections from multiple independent Modbus TCP clients (e.g., Local HMI, Central SCADA, and Cloud Historian).</w:t>
      </w:r>
    </w:p>
    <w:p>
      <w:r>
        <w:t>B. Hardware-Level Conflict Detection: For transparent write commands that must bypass the cache, the gateway shall incorporate active RS485 bus conflict detection.</w:t>
      </w:r>
    </w:p>
    <w:p>
      <w:r>
        <w:t>C. Traffic Scheduling: The internal processor shall continuously monitor the electrical state of the RS485 lines. In the event of simultaneous write commands from multiple hosts, the gateway shall queue the secondary command and enforce a strict configurable Idle Time (e.g., waiting 29 ms for bus silence) before releasing the command, mathematically ensuring zero CRC checksum failures on the physical layer.</w:t>
      </w:r>
    </w:p>
    <w:p>
      <w:pPr>
        <w:pStyle w:val="Heading1"/>
      </w:pPr>
      <w:r>
        <w:t>PART 3 - EXECUTION</w:t>
      </w:r>
    </w:p>
    <w:p>
      <w:pPr>
        <w:pStyle w:val="Heading2"/>
      </w:pPr>
      <w:r>
        <w:t>3.1 INSTALLATION</w:t>
      </w:r>
    </w:p>
    <w:p>
      <w:r>
        <w:t>A. Install the gateway in a standard 19-inch IT/OT convergence rack in accordance with the manufacturer's provided installation guidelines.</w:t>
      </w:r>
    </w:p>
    <w:p>
      <w:r>
        <w:t>B. Ensure proper grounding of the 1U chassis to the rack grounding busbar to mitigate EMI/RFI noise from adjacent variable frequency drives (VFDs).</w:t>
      </w:r>
    </w:p>
    <w:p>
      <w:pPr>
        <w:pStyle w:val="Heading2"/>
      </w:pPr>
      <w:r>
        <w:t>3.2 COMMISSIONING &amp; CONFIGURATION</w:t>
      </w:r>
    </w:p>
    <w:p>
      <w:r>
        <w:t>A. Configure the IP address, subnet mask, and gateway via the internal Web GUI.</w:t>
      </w:r>
    </w:p>
    <w:p>
      <w:r>
        <w:t>B. Enable the "Storage Modbus Gateway" (Auto-Query) mode for all ports connected to half-duplex RS485 daisy-chains experiencing multi-master polling.</w:t>
      </w:r>
    </w:p>
    <w:p>
      <w:r>
        <w:t>C. Set the RS485 Bus Conflict Detection idle time to a minimum of 29ms, or as dictated by the slowest legacy RTU device on the bus.</w:t>
      </w:r>
    </w:p>
    <w:p>
      <w:r>
        <w:t>D. Verify stable communication by conducting concurrent polling tests from at least two separate SCADA workstations. Verify that the gateway log registers zero Exception Code 0x0B events during a 24-hour stress test.</w:t>
      </w:r>
    </w:p>
    <w:p>
      <w:r>
        <w:br w:type="page"/>
      </w:r>
    </w:p>
    <w:p>
      <w:pPr>
        <w:pStyle w:val="Heading1"/>
      </w:pPr>
      <w:r>
        <w:t>DISCLAIMER &amp; LEGAL NOTICE</w:t>
      </w:r>
    </w:p>
    <w:p>
      <w:r>
        <w:rPr>
          <w:color w:val="646464"/>
          <w:sz w:val="18"/>
        </w:rPr>
        <w:t>This architectural and engineering specification is provided by Valtoris for informational and educational purposes only. Industrial networking environments vary significantly. The implementation of these concepts should be evaluated and customized by a certified control systems engineer. Valtoris assumes no liability for network downtime, equipment damage, or data loss resulting from the application of this document. Specifications and recommendations are subject to change without notice. Copyright © 2026 Valtoris. All rights reserved.</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969696"/>
        <w:sz w:val="20"/>
      </w:rPr>
      <w:t>VALTORIS ENGINEERING SPECIFICATION - CONFIDENTIAL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